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04"/>
        <w:gridCol w:w="7371"/>
        <w:gridCol w:w="1134"/>
      </w:tblGrid>
      <w:tr w:rsidR="005729C0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  <w:jc w:val="center"/>
        </w:trPr>
        <w:tc>
          <w:tcPr>
            <w:tcW w:w="1204" w:type="dxa"/>
          </w:tcPr>
          <w:p w:rsidR="005729C0" w:rsidRDefault="005729C0">
            <w:pPr>
              <w:tabs>
                <w:tab w:val="left" w:pos="4536"/>
                <w:tab w:val="left" w:leader="dot" w:pos="5387"/>
                <w:tab w:val="left" w:pos="7938"/>
                <w:tab w:val="left" w:leader="dot" w:pos="8789"/>
              </w:tabs>
              <w:rPr>
                <w:sz w:val="34"/>
              </w:rPr>
            </w:pPr>
            <w:r>
              <w:object w:dxaOrig="963" w:dyaOrig="1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2pt;height:70.7pt" o:ole="" fillcolor="window">
                  <v:imagedata r:id="rId7" o:title=""/>
                </v:shape>
                <o:OLEObject Type="Embed" ProgID="MSDraw" ShapeID="_x0000_i1025" DrawAspect="Content" ObjectID="_1358939897" r:id="rId8"/>
              </w:object>
            </w:r>
          </w:p>
        </w:tc>
        <w:tc>
          <w:tcPr>
            <w:tcW w:w="7371" w:type="dxa"/>
          </w:tcPr>
          <w:p w:rsidR="005729C0" w:rsidRDefault="005729C0">
            <w:pPr>
              <w:tabs>
                <w:tab w:val="left" w:pos="4253"/>
                <w:tab w:val="left" w:leader="dot" w:pos="5104"/>
                <w:tab w:val="left" w:pos="6946"/>
                <w:tab w:val="left" w:leader="dot" w:pos="7655"/>
              </w:tabs>
              <w:jc w:val="center"/>
            </w:pPr>
          </w:p>
          <w:p w:rsidR="005729C0" w:rsidRDefault="005729C0">
            <w:pPr>
              <w:tabs>
                <w:tab w:val="left" w:pos="4253"/>
                <w:tab w:val="left" w:leader="dot" w:pos="5104"/>
                <w:tab w:val="left" w:pos="6946"/>
                <w:tab w:val="left" w:leader="dot" w:pos="7655"/>
              </w:tabs>
              <w:jc w:val="center"/>
            </w:pPr>
            <w:r>
              <w:rPr>
                <w:sz w:val="60"/>
              </w:rPr>
              <w:t>MERÅKER KOMMUNE</w:t>
            </w:r>
          </w:p>
        </w:tc>
        <w:tc>
          <w:tcPr>
            <w:tcW w:w="1134" w:type="dxa"/>
          </w:tcPr>
          <w:p w:rsidR="005729C0" w:rsidRDefault="005729C0">
            <w:pPr>
              <w:tabs>
                <w:tab w:val="left" w:pos="4253"/>
                <w:tab w:val="left" w:leader="dot" w:pos="5104"/>
                <w:tab w:val="left" w:pos="6946"/>
                <w:tab w:val="left" w:leader="dot" w:pos="7655"/>
              </w:tabs>
            </w:pPr>
            <w:r>
              <w:object w:dxaOrig="963" w:dyaOrig="1415">
                <v:shape id="_x0000_i1026" type="#_x0000_t75" style="width:48.2pt;height:70.7pt" o:ole="" fillcolor="window">
                  <v:imagedata r:id="rId7" o:title=""/>
                </v:shape>
                <o:OLEObject Type="Embed" ProgID="MSDraw" ShapeID="_x0000_i1026" DrawAspect="Content" ObjectID="_1358939898" r:id="rId9"/>
              </w:object>
            </w:r>
          </w:p>
        </w:tc>
      </w:tr>
    </w:tbl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  <w:sz w:val="48"/>
        </w:rPr>
      </w:pPr>
      <w:r>
        <w:rPr>
          <w:color w:val="auto"/>
          <w:sz w:val="48"/>
        </w:rPr>
        <w:t>Reglement</w:t>
      </w: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  <w:sz w:val="48"/>
        </w:rPr>
      </w:pPr>
      <w:r>
        <w:rPr>
          <w:color w:val="auto"/>
          <w:sz w:val="48"/>
        </w:rPr>
        <w:t xml:space="preserve"> For Meråker kommunes</w:t>
      </w:r>
    </w:p>
    <w:p w:rsidR="005729C0" w:rsidRDefault="005729C0">
      <w:pPr>
        <w:pStyle w:val="Brdtekst"/>
        <w:rPr>
          <w:color w:val="auto"/>
          <w:sz w:val="48"/>
        </w:rPr>
      </w:pPr>
    </w:p>
    <w:p w:rsidR="005729C0" w:rsidRDefault="005729C0">
      <w:pPr>
        <w:pStyle w:val="Brdtekst"/>
        <w:rPr>
          <w:color w:val="auto"/>
          <w:sz w:val="48"/>
        </w:rPr>
      </w:pPr>
    </w:p>
    <w:p w:rsidR="005729C0" w:rsidRDefault="005729C0">
      <w:pPr>
        <w:pStyle w:val="Brdtekst"/>
        <w:rPr>
          <w:color w:val="auto"/>
          <w:sz w:val="48"/>
        </w:rPr>
      </w:pPr>
      <w:r>
        <w:rPr>
          <w:color w:val="auto"/>
          <w:sz w:val="48"/>
        </w:rPr>
        <w:t>finansforvaltning</w:t>
      </w: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</w:rPr>
      </w:pPr>
    </w:p>
    <w:p w:rsidR="005729C0" w:rsidRDefault="005729C0">
      <w:pPr>
        <w:pStyle w:val="Brdtekst"/>
        <w:rPr>
          <w:color w:val="auto"/>
          <w:sz w:val="36"/>
        </w:rPr>
      </w:pPr>
      <w:r>
        <w:rPr>
          <w:color w:val="auto"/>
          <w:sz w:val="36"/>
        </w:rPr>
        <w:t>(Finansreglement)</w:t>
      </w:r>
    </w:p>
    <w:p w:rsidR="005729C0" w:rsidRDefault="005729C0">
      <w:pPr>
        <w:pStyle w:val="Brdtekst"/>
        <w:rPr>
          <w:color w:val="auto"/>
          <w:sz w:val="36"/>
        </w:rPr>
      </w:pPr>
    </w:p>
    <w:p w:rsidR="005729C0" w:rsidRDefault="005729C0">
      <w:pPr>
        <w:pStyle w:val="Brdtekst"/>
        <w:rPr>
          <w:color w:val="auto"/>
          <w:sz w:val="36"/>
        </w:rPr>
      </w:pPr>
    </w:p>
    <w:p w:rsidR="005729C0" w:rsidRDefault="005729C0">
      <w:pPr>
        <w:pStyle w:val="Brdtekst"/>
        <w:rPr>
          <w:color w:val="auto"/>
          <w:sz w:val="36"/>
        </w:rPr>
      </w:pPr>
    </w:p>
    <w:p w:rsidR="005729C0" w:rsidRDefault="005729C0">
      <w:pPr>
        <w:pStyle w:val="Brdtekst"/>
        <w:rPr>
          <w:color w:val="auto"/>
          <w:sz w:val="36"/>
        </w:rPr>
      </w:pPr>
    </w:p>
    <w:p w:rsidR="005729C0" w:rsidRDefault="005729C0">
      <w:pPr>
        <w:pStyle w:val="Brdtekst"/>
        <w:rPr>
          <w:color w:val="auto"/>
          <w:sz w:val="36"/>
        </w:rPr>
      </w:pPr>
    </w:p>
    <w:p w:rsidR="005729C0" w:rsidRDefault="005729C0">
      <w:pPr>
        <w:pStyle w:val="Brdtekst"/>
        <w:rPr>
          <w:color w:val="auto"/>
          <w:sz w:val="36"/>
        </w:rPr>
      </w:pPr>
    </w:p>
    <w:p w:rsidR="005729C0" w:rsidRDefault="005729C0">
      <w:pPr>
        <w:pStyle w:val="Brdtekst"/>
        <w:rPr>
          <w:color w:val="auto"/>
          <w:sz w:val="36"/>
        </w:rPr>
      </w:pPr>
    </w:p>
    <w:p w:rsidR="005729C0" w:rsidRDefault="005729C0">
      <w:pPr>
        <w:pStyle w:val="Brdtekst"/>
        <w:rPr>
          <w:color w:val="auto"/>
          <w:sz w:val="36"/>
        </w:rPr>
      </w:pPr>
    </w:p>
    <w:p w:rsidR="005729C0" w:rsidRDefault="005729C0">
      <w:pPr>
        <w:pStyle w:val="Brdtekst"/>
        <w:rPr>
          <w:color w:val="auto"/>
          <w:sz w:val="24"/>
        </w:rPr>
      </w:pPr>
    </w:p>
    <w:p w:rsidR="005729C0" w:rsidRDefault="005729C0">
      <w:pPr>
        <w:pStyle w:val="Brdtekst"/>
        <w:jc w:val="right"/>
        <w:rPr>
          <w:color w:val="auto"/>
          <w:sz w:val="24"/>
        </w:rPr>
      </w:pPr>
    </w:p>
    <w:p w:rsidR="005729C0" w:rsidRDefault="005729C0">
      <w:pPr>
        <w:pStyle w:val="Brdtekst"/>
        <w:jc w:val="right"/>
        <w:rPr>
          <w:color w:val="auto"/>
          <w:sz w:val="24"/>
        </w:rPr>
      </w:pPr>
    </w:p>
    <w:p w:rsidR="005729C0" w:rsidRDefault="005729C0">
      <w:pPr>
        <w:pStyle w:val="Brdtekst"/>
        <w:jc w:val="right"/>
        <w:rPr>
          <w:color w:val="auto"/>
          <w:sz w:val="24"/>
        </w:rPr>
      </w:pPr>
      <w:r>
        <w:rPr>
          <w:color w:val="auto"/>
          <w:sz w:val="24"/>
        </w:rPr>
        <w:t>Vedtatt av kommunestyret i sak 7/03 den 27.01.03,</w:t>
      </w:r>
    </w:p>
    <w:p w:rsidR="005729C0" w:rsidRDefault="005729C0">
      <w:pPr>
        <w:pStyle w:val="Brdtekst"/>
        <w:jc w:val="right"/>
        <w:rPr>
          <w:color w:val="auto"/>
          <w:sz w:val="24"/>
        </w:rPr>
      </w:pPr>
      <w:r>
        <w:rPr>
          <w:color w:val="auto"/>
          <w:sz w:val="24"/>
        </w:rPr>
        <w:t>med endring vedtatt i formannskapet i sak 59/05 den 18.5.05.</w:t>
      </w:r>
    </w:p>
    <w:p w:rsidR="005729C0" w:rsidRDefault="005729C0">
      <w:pPr>
        <w:pStyle w:val="Brdtekst"/>
        <w:jc w:val="right"/>
        <w:rPr>
          <w:color w:val="auto"/>
          <w:sz w:val="24"/>
        </w:rPr>
      </w:pPr>
    </w:p>
    <w:p w:rsidR="005729C0" w:rsidRDefault="005729C0">
      <w:pPr>
        <w:numPr>
          <w:ilvl w:val="0"/>
          <w:numId w:val="3"/>
        </w:numPr>
      </w:pPr>
      <w:r>
        <w:rPr>
          <w:b/>
        </w:rPr>
        <w:lastRenderedPageBreak/>
        <w:t xml:space="preserve">Formål </w:t>
      </w:r>
      <w:r>
        <w:br/>
        <w:t>Reglement er vedtatt i medhold av kommunelovens § 52 og forskrift om kommuners og fylkeskommuners finansforvaltning av 05.03.2001.</w:t>
      </w:r>
    </w:p>
    <w:p w:rsidR="005729C0" w:rsidRDefault="005729C0"/>
    <w:p w:rsidR="005729C0" w:rsidRDefault="005729C0"/>
    <w:p w:rsidR="005729C0" w:rsidRDefault="005729C0">
      <w:pPr>
        <w:numPr>
          <w:ilvl w:val="0"/>
          <w:numId w:val="3"/>
        </w:numPr>
      </w:pPr>
      <w:r>
        <w:rPr>
          <w:b/>
        </w:rPr>
        <w:t xml:space="preserve">Formål </w:t>
      </w:r>
      <w:r>
        <w:br/>
        <w:t>Kommunen skal forvalte sine midler slik at tilfredsstillende avkastning kan oppnås, uten at det innebærer vesentlig finansiell risiko, og under hensyn til at kommunen skal ha midler til å dekke sine betalingsforpliktelser ved forfall.</w:t>
      </w:r>
    </w:p>
    <w:p w:rsidR="005729C0" w:rsidRDefault="005729C0"/>
    <w:p w:rsidR="005729C0" w:rsidRDefault="005729C0"/>
    <w:p w:rsidR="005729C0" w:rsidRDefault="005729C0">
      <w:pPr>
        <w:numPr>
          <w:ilvl w:val="0"/>
          <w:numId w:val="3"/>
        </w:numPr>
        <w:rPr>
          <w:b/>
        </w:rPr>
      </w:pPr>
      <w:r>
        <w:rPr>
          <w:b/>
        </w:rPr>
        <w:t xml:space="preserve">Målsetting </w:t>
      </w:r>
    </w:p>
    <w:p w:rsidR="005729C0" w:rsidRDefault="005729C0">
      <w:pPr>
        <w:ind w:firstLine="360"/>
      </w:pPr>
      <w:r>
        <w:t xml:space="preserve">Finansforvaltningen skal: </w:t>
      </w:r>
    </w:p>
    <w:p w:rsidR="005729C0" w:rsidRDefault="005729C0">
      <w:pPr>
        <w:numPr>
          <w:ilvl w:val="0"/>
          <w:numId w:val="2"/>
        </w:numPr>
      </w:pPr>
      <w:r>
        <w:t xml:space="preserve">ivareta grunnprinsippet i kommunelovens formålsbestemmelse om optimal utnytting av kommunens tilgjengelige ressurser med sikte på å kunne gi et best mulig tjenestetilbud, </w:t>
      </w:r>
    </w:p>
    <w:p w:rsidR="005729C0" w:rsidRDefault="005729C0">
      <w:pPr>
        <w:numPr>
          <w:ilvl w:val="0"/>
          <w:numId w:val="2"/>
        </w:numPr>
      </w:pPr>
      <w:r>
        <w:t>sikre stor grad av forutsigbarhet i kommunens finansielle stilling og</w:t>
      </w:r>
    </w:p>
    <w:p w:rsidR="005729C0" w:rsidRDefault="005729C0">
      <w:pPr>
        <w:numPr>
          <w:ilvl w:val="0"/>
          <w:numId w:val="2"/>
        </w:numPr>
      </w:pPr>
      <w:r>
        <w:t xml:space="preserve">bidra til stabilitet og langsiktighet. </w:t>
      </w:r>
    </w:p>
    <w:p w:rsidR="005729C0" w:rsidRDefault="005729C0">
      <w:pPr>
        <w:ind w:left="360"/>
      </w:pPr>
    </w:p>
    <w:p w:rsidR="005729C0" w:rsidRDefault="005729C0">
      <w:pPr>
        <w:ind w:left="360"/>
      </w:pPr>
    </w:p>
    <w:p w:rsidR="005729C0" w:rsidRDefault="005729C0">
      <w:pPr>
        <w:numPr>
          <w:ilvl w:val="0"/>
          <w:numId w:val="3"/>
        </w:numPr>
      </w:pPr>
      <w:r>
        <w:rPr>
          <w:b/>
        </w:rPr>
        <w:t xml:space="preserve">Risikoprofil </w:t>
      </w:r>
      <w:r>
        <w:br/>
        <w:t>Kommunen skal ha en lav til moderat risikoprofil med fokus på å redusere i hvilken grad endringer i finansmarkedene vil påvirke kommunens finansielle stilling.</w:t>
      </w:r>
    </w:p>
    <w:p w:rsidR="005729C0" w:rsidRDefault="005729C0">
      <w:pPr>
        <w:rPr>
          <w:b/>
        </w:rPr>
      </w:pPr>
    </w:p>
    <w:p w:rsidR="005729C0" w:rsidRDefault="005729C0">
      <w:pPr>
        <w:rPr>
          <w:b/>
        </w:rPr>
      </w:pPr>
    </w:p>
    <w:p w:rsidR="005729C0" w:rsidRDefault="005729C0">
      <w:pPr>
        <w:numPr>
          <w:ilvl w:val="0"/>
          <w:numId w:val="3"/>
        </w:numPr>
        <w:rPr>
          <w:b/>
        </w:rPr>
      </w:pPr>
      <w:r>
        <w:rPr>
          <w:b/>
        </w:rPr>
        <w:t>Finansiell risiko og forklaringer</w:t>
      </w:r>
    </w:p>
    <w:p w:rsidR="005729C0" w:rsidRDefault="005729C0"/>
    <w:p w:rsidR="005729C0" w:rsidRDefault="005729C0">
      <w:pPr>
        <w:numPr>
          <w:ilvl w:val="0"/>
          <w:numId w:val="1"/>
        </w:numPr>
        <w:tabs>
          <w:tab w:val="num" w:pos="720"/>
        </w:tabs>
        <w:outlineLvl w:val="0"/>
      </w:pPr>
      <w:r>
        <w:rPr>
          <w:u w:val="single"/>
        </w:rPr>
        <w:t xml:space="preserve">Kredittrisiko </w:t>
      </w:r>
      <w:r>
        <w:br/>
        <w:t>Risiko for tap som følge av at låntaker eller i motparten i en kontrakt unnlater å innfri sin forpliktelse.</w:t>
      </w:r>
    </w:p>
    <w:p w:rsidR="005729C0" w:rsidRDefault="005729C0">
      <w:pPr>
        <w:numPr>
          <w:ilvl w:val="0"/>
          <w:numId w:val="1"/>
        </w:numPr>
        <w:tabs>
          <w:tab w:val="num" w:pos="720"/>
        </w:tabs>
        <w:outlineLvl w:val="0"/>
      </w:pPr>
      <w:r>
        <w:rPr>
          <w:u w:val="single"/>
        </w:rPr>
        <w:t>Likviditetsrisiko</w:t>
      </w:r>
      <w:r>
        <w:t xml:space="preserve"> </w:t>
      </w:r>
      <w:r>
        <w:br/>
        <w:t>Risiko for at eiendeler ikke kan omsettes nær markedsverdi i løpet av en avgrenset tidsperiode.</w:t>
      </w:r>
    </w:p>
    <w:p w:rsidR="005729C0" w:rsidRDefault="005729C0">
      <w:pPr>
        <w:numPr>
          <w:ilvl w:val="0"/>
          <w:numId w:val="1"/>
        </w:numPr>
        <w:tabs>
          <w:tab w:val="num" w:pos="720"/>
        </w:tabs>
        <w:outlineLvl w:val="0"/>
      </w:pPr>
      <w:r>
        <w:rPr>
          <w:u w:val="single"/>
        </w:rPr>
        <w:t xml:space="preserve">Finansieringsrisiko </w:t>
      </w:r>
      <w:r>
        <w:br/>
        <w:t>Risiko for ikke å kunne finansiere sine lånebehov.</w:t>
      </w:r>
    </w:p>
    <w:p w:rsidR="005729C0" w:rsidRDefault="005729C0">
      <w:pPr>
        <w:numPr>
          <w:ilvl w:val="0"/>
          <w:numId w:val="1"/>
        </w:numPr>
        <w:tabs>
          <w:tab w:val="num" w:pos="720"/>
        </w:tabs>
        <w:outlineLvl w:val="0"/>
      </w:pPr>
      <w:r>
        <w:rPr>
          <w:u w:val="single"/>
        </w:rPr>
        <w:t xml:space="preserve">Renterisiko </w:t>
      </w:r>
      <w:r>
        <w:br/>
        <w:t>Risiko for endring av verdien på eiendeler, gjeld, egenkapital som følge av renteendringer.</w:t>
      </w:r>
    </w:p>
    <w:p w:rsidR="005729C0" w:rsidRDefault="005729C0">
      <w:pPr>
        <w:numPr>
          <w:ilvl w:val="0"/>
          <w:numId w:val="1"/>
        </w:numPr>
        <w:tabs>
          <w:tab w:val="num" w:pos="720"/>
        </w:tabs>
        <w:outlineLvl w:val="0"/>
      </w:pPr>
      <w:r>
        <w:rPr>
          <w:u w:val="single"/>
        </w:rPr>
        <w:t>Valutarisiko</w:t>
      </w:r>
    </w:p>
    <w:p w:rsidR="005729C0" w:rsidRDefault="005729C0">
      <w:pPr>
        <w:ind w:left="708"/>
        <w:outlineLvl w:val="0"/>
      </w:pPr>
      <w:r>
        <w:t>Risiko for endring av verdien på eiendeler, gjeld, egenkapital som følge av endringer i valutakurser.</w:t>
      </w:r>
    </w:p>
    <w:p w:rsidR="005729C0" w:rsidRDefault="005729C0">
      <w:pPr>
        <w:outlineLvl w:val="0"/>
        <w:rPr>
          <w:u w:val="single"/>
        </w:rPr>
      </w:pPr>
    </w:p>
    <w:p w:rsidR="005729C0" w:rsidRDefault="005729C0">
      <w:pPr>
        <w:outlineLvl w:val="0"/>
        <w:rPr>
          <w:u w:val="single"/>
        </w:rPr>
      </w:pPr>
    </w:p>
    <w:p w:rsidR="005729C0" w:rsidRDefault="005729C0">
      <w:pPr>
        <w:numPr>
          <w:ilvl w:val="0"/>
          <w:numId w:val="3"/>
        </w:numPr>
        <w:rPr>
          <w:b/>
        </w:rPr>
      </w:pPr>
      <w:r>
        <w:rPr>
          <w:b/>
        </w:rPr>
        <w:t xml:space="preserve">Administrativ/operasjonell risiko  </w:t>
      </w:r>
    </w:p>
    <w:p w:rsidR="005729C0" w:rsidRDefault="005729C0">
      <w:pPr>
        <w:pStyle w:val="Brdtekstinnrykk"/>
      </w:pPr>
      <w:r>
        <w:t>Risiko for at kommunen internt (eller hos motpart i transaksjoner) ikke har tilstrekkelig kompetanse/bemanning, systemer, rutiner, samt ressurser generelt til å gjennomføre kommunens vedtatte finansforvaltning.</w:t>
      </w:r>
    </w:p>
    <w:p w:rsidR="005729C0" w:rsidRDefault="005729C0">
      <w:pPr>
        <w:pStyle w:val="Brdtekstinnrykk"/>
      </w:pPr>
    </w:p>
    <w:p w:rsidR="005729C0" w:rsidRDefault="005729C0">
      <w:pPr>
        <w:pStyle w:val="Brdtekstinnrykk"/>
      </w:pPr>
    </w:p>
    <w:p w:rsidR="005729C0" w:rsidRDefault="005729C0">
      <w:pPr>
        <w:numPr>
          <w:ilvl w:val="0"/>
          <w:numId w:val="3"/>
        </w:numPr>
      </w:pPr>
      <w:r>
        <w:rPr>
          <w:b/>
        </w:rPr>
        <w:t xml:space="preserve">Risiko i aksjemarkedet </w:t>
      </w:r>
      <w:r>
        <w:br/>
        <w:t>Risiko for aksjemarkedet eller det aktuelle investeringsobjekt vil stige eller falle - både på kort eller lang sikt.</w:t>
      </w:r>
    </w:p>
    <w:p w:rsidR="005729C0" w:rsidRDefault="005729C0"/>
    <w:p w:rsidR="005729C0" w:rsidRDefault="005729C0"/>
    <w:p w:rsidR="005729C0" w:rsidRDefault="005729C0">
      <w:pPr>
        <w:numPr>
          <w:ilvl w:val="0"/>
          <w:numId w:val="3"/>
        </w:numPr>
      </w:pPr>
      <w:r>
        <w:rPr>
          <w:b/>
        </w:rPr>
        <w:t>Rammer for risiko</w:t>
      </w:r>
      <w:r>
        <w:t xml:space="preserve"> </w:t>
      </w:r>
      <w:r>
        <w:br/>
        <w:t>Kommunens finansforvaltning skal drives slik at kommunen ikke påføres vesentlig finansiell risiko.</w:t>
      </w:r>
    </w:p>
    <w:p w:rsidR="005729C0" w:rsidRDefault="005729C0"/>
    <w:p w:rsidR="005729C0" w:rsidRDefault="005729C0">
      <w:pPr>
        <w:numPr>
          <w:ilvl w:val="0"/>
          <w:numId w:val="4"/>
        </w:numPr>
      </w:pPr>
      <w:r>
        <w:rPr>
          <w:b/>
        </w:rPr>
        <w:t>Innlån</w:t>
      </w:r>
      <w:r>
        <w:t xml:space="preserve"> </w:t>
      </w:r>
    </w:p>
    <w:p w:rsidR="005729C0" w:rsidRDefault="005729C0">
      <w:pPr>
        <w:numPr>
          <w:ilvl w:val="0"/>
          <w:numId w:val="5"/>
        </w:numPr>
        <w:ind w:left="1068"/>
      </w:pPr>
      <w:r>
        <w:t>Det skal innhentes tilbud fra minst to låneinstitusjoner.</w:t>
      </w:r>
    </w:p>
    <w:p w:rsidR="005729C0" w:rsidRDefault="005729C0">
      <w:pPr>
        <w:numPr>
          <w:ilvl w:val="0"/>
          <w:numId w:val="5"/>
        </w:numPr>
        <w:ind w:left="1068"/>
      </w:pPr>
      <w:r>
        <w:t xml:space="preserve">Renteutviklingen skal kontinuerlig overvåkes for å vurdere binding av lån. </w:t>
      </w:r>
    </w:p>
    <w:p w:rsidR="005729C0" w:rsidRDefault="005729C0">
      <w:pPr>
        <w:numPr>
          <w:ilvl w:val="0"/>
          <w:numId w:val="5"/>
        </w:numPr>
        <w:ind w:left="1068"/>
      </w:pPr>
      <w:r>
        <w:t xml:space="preserve">For å redusere renterisikoen skal man søke å ha et rentefond som brukes/ foretas avsetninger til når kommunestyret finner grunn til det.  Fondets størrelse skal vurderes hvert år i forbindelse med rulleringen av økonomiplanen. </w:t>
      </w:r>
    </w:p>
    <w:p w:rsidR="005729C0" w:rsidRDefault="005729C0">
      <w:pPr>
        <w:numPr>
          <w:ilvl w:val="0"/>
          <w:numId w:val="5"/>
        </w:numPr>
        <w:ind w:left="1068"/>
      </w:pPr>
      <w:r>
        <w:lastRenderedPageBreak/>
        <w:t xml:space="preserve">Gjeldsporteføljen skal bestå av et mindre antall lån. </w:t>
      </w:r>
    </w:p>
    <w:p w:rsidR="005729C0" w:rsidRDefault="005729C0">
      <w:pPr>
        <w:rPr>
          <w:b/>
        </w:rPr>
      </w:pPr>
    </w:p>
    <w:p w:rsidR="005729C0" w:rsidRDefault="005729C0">
      <w:pPr>
        <w:numPr>
          <w:ilvl w:val="0"/>
          <w:numId w:val="4"/>
        </w:numPr>
      </w:pPr>
      <w:r>
        <w:rPr>
          <w:b/>
        </w:rPr>
        <w:t xml:space="preserve">Plassering av ledig likviditet som disponeres innenfor årsbudsjettperioden </w:t>
      </w:r>
    </w:p>
    <w:p w:rsidR="005729C0" w:rsidRDefault="005729C0">
      <w:pPr>
        <w:numPr>
          <w:ilvl w:val="0"/>
          <w:numId w:val="6"/>
        </w:numPr>
        <w:ind w:left="1068"/>
      </w:pPr>
      <w:r>
        <w:t>Ved plassering av penger skal den finansielle risiko være minimal.</w:t>
      </w:r>
    </w:p>
    <w:p w:rsidR="005729C0" w:rsidRDefault="005729C0">
      <w:pPr>
        <w:numPr>
          <w:ilvl w:val="0"/>
          <w:numId w:val="6"/>
        </w:numPr>
        <w:ind w:left="1068"/>
      </w:pPr>
      <w:r>
        <w:t xml:space="preserve">Kommunen skal spre sine innskudd på minst to norske banker slik at innskudd i en bank ikke skal overstige 30 mill. kroner. </w:t>
      </w:r>
    </w:p>
    <w:p w:rsidR="005729C0" w:rsidRDefault="005729C0">
      <w:pPr>
        <w:numPr>
          <w:ilvl w:val="0"/>
          <w:numId w:val="6"/>
        </w:numPr>
        <w:ind w:left="1068"/>
      </w:pPr>
      <w:r>
        <w:t xml:space="preserve">Ved plassering av penger i andre porteføljer skal den finansielle risiko være lav. </w:t>
      </w:r>
    </w:p>
    <w:p w:rsidR="005729C0" w:rsidRDefault="005729C0">
      <w:pPr>
        <w:rPr>
          <w:b/>
        </w:rPr>
      </w:pPr>
    </w:p>
    <w:p w:rsidR="005729C0" w:rsidRDefault="005729C0">
      <w:pPr>
        <w:numPr>
          <w:ilvl w:val="0"/>
          <w:numId w:val="4"/>
        </w:numPr>
      </w:pPr>
      <w:r>
        <w:rPr>
          <w:b/>
        </w:rPr>
        <w:t xml:space="preserve">Plassering av langsiktige finansielle aktiva </w:t>
      </w:r>
      <w:r>
        <w:br/>
        <w:t>Omfatter aktiva hvor kun avkastning skal disponeres i årsbudsjettperioden.</w:t>
      </w:r>
    </w:p>
    <w:p w:rsidR="005729C0" w:rsidRDefault="005729C0"/>
    <w:p w:rsidR="005729C0" w:rsidRDefault="005729C0">
      <w:pPr>
        <w:numPr>
          <w:ilvl w:val="0"/>
          <w:numId w:val="7"/>
        </w:numPr>
      </w:pPr>
      <w:r>
        <w:t xml:space="preserve">Ved plassering av langsiktige finansielle aktiva skal den finansielle risiko være lav. </w:t>
      </w:r>
    </w:p>
    <w:p w:rsidR="005729C0" w:rsidRDefault="005729C0">
      <w:pPr>
        <w:numPr>
          <w:ilvl w:val="0"/>
          <w:numId w:val="7"/>
        </w:numPr>
      </w:pPr>
      <w:r>
        <w:t xml:space="preserve">Langsiktige finansielle aktiva kan plasseres i bankinnskudd. </w:t>
      </w:r>
    </w:p>
    <w:p w:rsidR="005729C0" w:rsidRDefault="005729C0">
      <w:pPr>
        <w:ind w:left="708"/>
      </w:pPr>
    </w:p>
    <w:p w:rsidR="005729C0" w:rsidRDefault="005729C0">
      <w:pPr>
        <w:ind w:left="708"/>
      </w:pPr>
    </w:p>
    <w:p w:rsidR="005729C0" w:rsidRDefault="005729C0">
      <w:pPr>
        <w:numPr>
          <w:ilvl w:val="0"/>
          <w:numId w:val="3"/>
        </w:numPr>
      </w:pPr>
      <w:r>
        <w:rPr>
          <w:b/>
        </w:rPr>
        <w:t xml:space="preserve">Fullmakter til administrasjonssjefen. </w:t>
      </w:r>
      <w:r>
        <w:br/>
        <w:t>Kommunestyret gir administrasjonssjefen følgende fullmakter:</w:t>
      </w:r>
    </w:p>
    <w:p w:rsidR="005729C0" w:rsidRDefault="005729C0">
      <w:pPr>
        <w:ind w:left="360"/>
        <w:rPr>
          <w:b/>
        </w:rPr>
      </w:pPr>
    </w:p>
    <w:p w:rsidR="005729C0" w:rsidRDefault="005729C0">
      <w:pPr>
        <w:ind w:left="709" w:hanging="283"/>
      </w:pPr>
      <w:r>
        <w:rPr>
          <w:b/>
        </w:rPr>
        <w:t>a.</w:t>
      </w:r>
      <w:r>
        <w:rPr>
          <w:b/>
        </w:rPr>
        <w:tab/>
        <w:t>Opptak av lån (gjelder også refinansiering og sammenslåing av lån)</w:t>
      </w:r>
    </w:p>
    <w:p w:rsidR="005729C0" w:rsidRDefault="005729C0">
      <w:pPr>
        <w:numPr>
          <w:ilvl w:val="0"/>
          <w:numId w:val="2"/>
        </w:numPr>
        <w:ind w:left="1080"/>
      </w:pPr>
      <w:r>
        <w:t>Velge låneinstitusjon, avdragstid og rentebetingelser.</w:t>
      </w:r>
    </w:p>
    <w:p w:rsidR="005729C0" w:rsidRDefault="005729C0">
      <w:pPr>
        <w:ind w:left="360"/>
        <w:rPr>
          <w:b/>
        </w:rPr>
      </w:pPr>
    </w:p>
    <w:p w:rsidR="005729C0" w:rsidRDefault="005729C0">
      <w:pPr>
        <w:ind w:left="709" w:hanging="283"/>
      </w:pPr>
      <w:r>
        <w:rPr>
          <w:b/>
        </w:rPr>
        <w:t>b.</w:t>
      </w:r>
      <w:r>
        <w:rPr>
          <w:b/>
        </w:rPr>
        <w:tab/>
        <w:t xml:space="preserve">Plassering av ledig likviditet </w:t>
      </w:r>
    </w:p>
    <w:p w:rsidR="005729C0" w:rsidRDefault="005729C0">
      <w:pPr>
        <w:numPr>
          <w:ilvl w:val="0"/>
          <w:numId w:val="2"/>
        </w:numPr>
        <w:ind w:left="991" w:hanging="283"/>
      </w:pPr>
      <w:r>
        <w:t>Velge finansinstitusjon.</w:t>
      </w:r>
    </w:p>
    <w:p w:rsidR="005729C0" w:rsidRDefault="005729C0">
      <w:pPr>
        <w:numPr>
          <w:ilvl w:val="0"/>
          <w:numId w:val="2"/>
        </w:numPr>
        <w:ind w:left="991" w:hanging="283"/>
      </w:pPr>
      <w:r>
        <w:t>Forhandle og bestemme vilkår for plassering.</w:t>
      </w:r>
    </w:p>
    <w:p w:rsidR="005729C0" w:rsidRDefault="005729C0">
      <w:pPr>
        <w:numPr>
          <w:ilvl w:val="0"/>
          <w:numId w:val="2"/>
        </w:numPr>
        <w:ind w:left="991" w:hanging="283"/>
      </w:pPr>
      <w:r>
        <w:t>Bestemme sammensetningen av plasseringen.</w:t>
      </w:r>
    </w:p>
    <w:p w:rsidR="005729C0" w:rsidRDefault="005729C0">
      <w:pPr>
        <w:ind w:left="709" w:hanging="283"/>
        <w:rPr>
          <w:b/>
        </w:rPr>
      </w:pPr>
    </w:p>
    <w:p w:rsidR="005729C0" w:rsidRDefault="005729C0">
      <w:pPr>
        <w:ind w:left="709" w:hanging="283"/>
      </w:pPr>
      <w:r>
        <w:rPr>
          <w:b/>
        </w:rPr>
        <w:t>c.</w:t>
      </w:r>
      <w:r>
        <w:rPr>
          <w:b/>
        </w:rPr>
        <w:tab/>
        <w:t>Plassering av langsiktig finansiell aktiva</w:t>
      </w:r>
      <w:r>
        <w:t xml:space="preserve"> </w:t>
      </w:r>
    </w:p>
    <w:p w:rsidR="005729C0" w:rsidRDefault="005729C0">
      <w:pPr>
        <w:numPr>
          <w:ilvl w:val="0"/>
          <w:numId w:val="2"/>
        </w:numPr>
        <w:ind w:left="991" w:hanging="283"/>
      </w:pPr>
      <w:r>
        <w:t>Velge finansinstitusjon.</w:t>
      </w:r>
    </w:p>
    <w:p w:rsidR="005729C0" w:rsidRDefault="005729C0">
      <w:pPr>
        <w:numPr>
          <w:ilvl w:val="0"/>
          <w:numId w:val="2"/>
        </w:numPr>
        <w:ind w:left="991" w:hanging="283"/>
      </w:pPr>
      <w:r>
        <w:t>Forhandle og bestemme vilkår for plassering.</w:t>
      </w:r>
    </w:p>
    <w:p w:rsidR="005729C0" w:rsidRDefault="005729C0">
      <w:pPr>
        <w:numPr>
          <w:ilvl w:val="0"/>
          <w:numId w:val="2"/>
        </w:numPr>
        <w:ind w:left="991" w:hanging="283"/>
      </w:pPr>
      <w:r>
        <w:t xml:space="preserve">Bestemme sammensetningen av plasseringen. </w:t>
      </w:r>
    </w:p>
    <w:p w:rsidR="005729C0" w:rsidRDefault="005729C0"/>
    <w:p w:rsidR="005729C0" w:rsidRDefault="005729C0"/>
    <w:p w:rsidR="005729C0" w:rsidRDefault="005729C0">
      <w:pPr>
        <w:numPr>
          <w:ilvl w:val="0"/>
          <w:numId w:val="3"/>
        </w:numPr>
      </w:pPr>
      <w:r>
        <w:rPr>
          <w:b/>
        </w:rPr>
        <w:t xml:space="preserve">Rapportering og kontroll </w:t>
      </w:r>
      <w:r>
        <w:br/>
        <w:t>Formål med rapportering er å informere om finansforvaltningens faktiske resultater, samt finansforvaltningens eksponering i forhold til de rammer og retningslinjer som er fastsatt.</w:t>
      </w:r>
    </w:p>
    <w:p w:rsidR="005729C0" w:rsidRDefault="005729C0"/>
    <w:p w:rsidR="005729C0" w:rsidRDefault="005729C0">
      <w:pPr>
        <w:pStyle w:val="Brdtekstinnrykk"/>
      </w:pPr>
      <w:r>
        <w:t>Administrasjonssjefen rapporter minst tre ganger pr. år til formannskapet. Rapporten skal inneholde:</w:t>
      </w:r>
    </w:p>
    <w:p w:rsidR="005729C0" w:rsidRDefault="005729C0"/>
    <w:p w:rsidR="005729C0" w:rsidRDefault="005729C0">
      <w:pPr>
        <w:numPr>
          <w:ilvl w:val="0"/>
          <w:numId w:val="2"/>
        </w:numPr>
      </w:pPr>
      <w:r>
        <w:t xml:space="preserve">Oversikt over gjeldens fordeling på lånenes type, renteutvikling og låneinstitusjon. </w:t>
      </w:r>
    </w:p>
    <w:p w:rsidR="005729C0" w:rsidRDefault="005729C0">
      <w:pPr>
        <w:numPr>
          <w:ilvl w:val="0"/>
          <w:numId w:val="2"/>
        </w:numPr>
      </w:pPr>
      <w:r>
        <w:t>Oversikt over plassering av ledig likviditet med fordeling på aktivaklasse og vilkår.</w:t>
      </w:r>
    </w:p>
    <w:p w:rsidR="005729C0" w:rsidRDefault="005729C0">
      <w:pPr>
        <w:numPr>
          <w:ilvl w:val="0"/>
          <w:numId w:val="2"/>
        </w:numPr>
      </w:pPr>
      <w:r>
        <w:t xml:space="preserve">Oversikt over plassering av langsiktig finansiell aktiva med fordeling på aktivaklasse og vilkår. </w:t>
      </w:r>
    </w:p>
    <w:p w:rsidR="005729C0" w:rsidRDefault="005729C0">
      <w:pPr>
        <w:numPr>
          <w:ilvl w:val="0"/>
          <w:numId w:val="2"/>
        </w:numPr>
      </w:pPr>
      <w:r>
        <w:t xml:space="preserve">En beskrivelse av forventet utvikling i markedet frem til neste rapporteringstidspunkt og hvilke konsekvenser rådmannen trekker av dette. </w:t>
      </w:r>
    </w:p>
    <w:p w:rsidR="005729C0" w:rsidRDefault="005729C0">
      <w:pPr>
        <w:ind w:left="360"/>
      </w:pPr>
    </w:p>
    <w:p w:rsidR="005729C0" w:rsidRDefault="005729C0">
      <w:pPr>
        <w:ind w:left="360"/>
      </w:pPr>
    </w:p>
    <w:p w:rsidR="005729C0" w:rsidRDefault="005729C0">
      <w:r>
        <w:rPr>
          <w:b/>
        </w:rPr>
        <w:t xml:space="preserve">11. Evaluering </w:t>
      </w:r>
      <w:r>
        <w:br/>
        <w:t>Administrasjonssjefen kan engasjere ekstern bistand for gjennomgang av kommunens finansforvaltning.</w:t>
      </w:r>
    </w:p>
    <w:p w:rsidR="005729C0" w:rsidRDefault="005729C0"/>
    <w:sectPr w:rsidR="005729C0">
      <w:headerReference w:type="first" r:id="rId10"/>
      <w:pgSz w:w="11907" w:h="16840"/>
      <w:pgMar w:top="1418" w:right="1418" w:bottom="1418" w:left="1418" w:header="680" w:footer="45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9C0" w:rsidRDefault="005729C0">
      <w:r>
        <w:separator/>
      </w:r>
    </w:p>
  </w:endnote>
  <w:endnote w:type="continuationSeparator" w:id="0">
    <w:p w:rsidR="005729C0" w:rsidRDefault="005729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9C0" w:rsidRDefault="005729C0">
      <w:r>
        <w:separator/>
      </w:r>
    </w:p>
  </w:footnote>
  <w:footnote w:type="continuationSeparator" w:id="0">
    <w:p w:rsidR="005729C0" w:rsidRDefault="005729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C0" w:rsidRDefault="005729C0">
    <w:pPr>
      <w:pStyle w:val="Topptekst"/>
      <w:ind w:left="4253"/>
      <w:jc w:val="center"/>
    </w:pPr>
  </w:p>
  <w:p w:rsidR="005729C0" w:rsidRDefault="005729C0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10DF75DC"/>
    <w:multiLevelType w:val="singleLevel"/>
    <w:tmpl w:val="A852DB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3">
    <w:nsid w:val="160E52CA"/>
    <w:multiLevelType w:val="singleLevel"/>
    <w:tmpl w:val="D3563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>
    <w:nsid w:val="1A474CEB"/>
    <w:multiLevelType w:val="singleLevel"/>
    <w:tmpl w:val="D3563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>
    <w:nsid w:val="3FCF2651"/>
    <w:multiLevelType w:val="singleLevel"/>
    <w:tmpl w:val="D3563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>
    <w:nsid w:val="6EF87C80"/>
    <w:multiLevelType w:val="singleLevel"/>
    <w:tmpl w:val="18D4D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4E8"/>
    <w:rsid w:val="00027A54"/>
    <w:rsid w:val="005729C0"/>
    <w:rsid w:val="00E45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rdtekst">
    <w:name w:val="Body Text"/>
    <w:basedOn w:val="Normal"/>
    <w:semiHidden/>
    <w:pPr>
      <w:jc w:val="center"/>
    </w:pPr>
    <w:rPr>
      <w:b/>
      <w:color w:val="008080"/>
      <w:sz w:val="28"/>
    </w:rPr>
  </w:style>
  <w:style w:type="paragraph" w:styleId="Brdtekstinnrykk">
    <w:name w:val="Body Text Indent"/>
    <w:basedOn w:val="Normal"/>
    <w:semiHidden/>
    <w:pPr>
      <w:ind w:left="36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WinSak32\DokMaler\to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</TotalTime>
  <Pages>3</Pages>
  <Words>737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Saksbehandler:  </vt:lpstr>
      <vt:lpstr>Saksbehandler:  </vt:lpstr>
    </vt:vector>
  </TitlesOfParts>
  <Company>Gecko Informasjonssystemer AS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Saksbehandler:  </dc:title>
  <dc:subject/>
  <dc:creator>IKT</dc:creator>
  <cp:keywords/>
  <cp:lastModifiedBy>livols1</cp:lastModifiedBy>
  <cp:revision>2</cp:revision>
  <cp:lastPrinted>1601-01-01T00:00:00Z</cp:lastPrinted>
  <dcterms:created xsi:type="dcterms:W3CDTF">2011-02-11T13:32:00Z</dcterms:created>
  <dcterms:modified xsi:type="dcterms:W3CDTF">2011-02-11T13:32:00Z</dcterms:modified>
</cp:coreProperties>
</file>